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378741" w14:textId="77777777" w:rsidR="00DF1DF2" w:rsidRDefault="00DF1DF2" w:rsidP="00DF1DF2">
      <w:pPr>
        <w:jc w:val="center"/>
        <w:rPr>
          <w:rFonts w:cs="Times New Roman"/>
          <w:b/>
          <w:bCs/>
          <w:color w:val="202124"/>
          <w:szCs w:val="24"/>
          <w:shd w:val="clear" w:color="auto" w:fill="FFFFFF"/>
        </w:rPr>
      </w:pPr>
    </w:p>
    <w:p w14:paraId="154CA261" w14:textId="77777777" w:rsidR="00DF1DF2" w:rsidRDefault="00DF1DF2" w:rsidP="00DF1DF2">
      <w:pPr>
        <w:jc w:val="center"/>
        <w:rPr>
          <w:rFonts w:cs="Times New Roman"/>
          <w:b/>
          <w:bCs/>
          <w:color w:val="202124"/>
          <w:szCs w:val="24"/>
          <w:shd w:val="clear" w:color="auto" w:fill="FFFFFF"/>
        </w:rPr>
      </w:pPr>
    </w:p>
    <w:p w14:paraId="37FE2DF1" w14:textId="77777777" w:rsidR="00DF1DF2" w:rsidRDefault="00DF1DF2" w:rsidP="00DF1DF2">
      <w:pPr>
        <w:jc w:val="center"/>
        <w:rPr>
          <w:rFonts w:cs="Times New Roman"/>
          <w:b/>
          <w:bCs/>
          <w:color w:val="202124"/>
          <w:szCs w:val="24"/>
          <w:shd w:val="clear" w:color="auto" w:fill="FFFFFF"/>
        </w:rPr>
      </w:pPr>
    </w:p>
    <w:p w14:paraId="2D355410" w14:textId="77777777" w:rsidR="00DF1DF2" w:rsidRDefault="00DF1DF2" w:rsidP="00DF1DF2">
      <w:pPr>
        <w:jc w:val="center"/>
        <w:rPr>
          <w:rFonts w:cs="Times New Roman"/>
          <w:b/>
          <w:bCs/>
          <w:color w:val="202124"/>
          <w:szCs w:val="24"/>
          <w:shd w:val="clear" w:color="auto" w:fill="FFFFFF"/>
        </w:rPr>
      </w:pPr>
    </w:p>
    <w:p w14:paraId="0DA8FEB0" w14:textId="13A646C8" w:rsidR="00DF1DF2" w:rsidRPr="00DF1DF2" w:rsidRDefault="00DF1DF2" w:rsidP="00DF1DF2">
      <w:pPr>
        <w:jc w:val="center"/>
        <w:rPr>
          <w:rFonts w:cs="Times New Roman"/>
          <w:b/>
          <w:bCs/>
          <w:szCs w:val="24"/>
        </w:rPr>
      </w:pPr>
      <w:r w:rsidRPr="00DF1DF2">
        <w:rPr>
          <w:rFonts w:cs="Times New Roman"/>
          <w:b/>
          <w:color w:val="1B1B1B"/>
          <w:sz w:val="27"/>
          <w:szCs w:val="27"/>
          <w:shd w:val="clear" w:color="auto" w:fill="FFFFFF"/>
        </w:rPr>
        <w:t>Assessment of the political system and economic system of both the host country Australia and home country of Saudi Aramco</w:t>
      </w:r>
    </w:p>
    <w:p w14:paraId="273F5658" w14:textId="77777777" w:rsidR="00DF1DF2" w:rsidRPr="00A00EFD" w:rsidRDefault="00DF1DF2" w:rsidP="00DF1DF2">
      <w:pPr>
        <w:jc w:val="center"/>
        <w:rPr>
          <w:rFonts w:cs="Times New Roman"/>
          <w:szCs w:val="24"/>
        </w:rPr>
      </w:pPr>
      <w:r w:rsidRPr="00A00EFD">
        <w:rPr>
          <w:rFonts w:cs="Times New Roman"/>
          <w:szCs w:val="24"/>
        </w:rPr>
        <w:t>Name</w:t>
      </w:r>
    </w:p>
    <w:p w14:paraId="43E02E7B" w14:textId="77777777" w:rsidR="00DF1DF2" w:rsidRPr="00A00EFD" w:rsidRDefault="00DF1DF2" w:rsidP="00DF1DF2">
      <w:pPr>
        <w:jc w:val="center"/>
        <w:rPr>
          <w:rFonts w:cs="Times New Roman"/>
          <w:szCs w:val="24"/>
        </w:rPr>
      </w:pPr>
      <w:r w:rsidRPr="00A00EFD">
        <w:rPr>
          <w:rFonts w:cs="Times New Roman"/>
          <w:szCs w:val="24"/>
        </w:rPr>
        <w:t>Professor</w:t>
      </w:r>
    </w:p>
    <w:p w14:paraId="0A640D96" w14:textId="77777777" w:rsidR="00DF1DF2" w:rsidRPr="00A00EFD" w:rsidRDefault="00DF1DF2" w:rsidP="00DF1DF2">
      <w:pPr>
        <w:jc w:val="center"/>
        <w:rPr>
          <w:rFonts w:cs="Times New Roman"/>
          <w:szCs w:val="24"/>
        </w:rPr>
      </w:pPr>
      <w:r w:rsidRPr="00A00EFD">
        <w:rPr>
          <w:rFonts w:cs="Times New Roman"/>
          <w:szCs w:val="24"/>
        </w:rPr>
        <w:t>Institution</w:t>
      </w:r>
    </w:p>
    <w:p w14:paraId="3B69F25C" w14:textId="77777777" w:rsidR="00DF1DF2" w:rsidRPr="00A00EFD" w:rsidRDefault="00DF1DF2" w:rsidP="00DF1DF2">
      <w:pPr>
        <w:jc w:val="center"/>
        <w:rPr>
          <w:rFonts w:cs="Times New Roman"/>
          <w:szCs w:val="24"/>
        </w:rPr>
      </w:pPr>
      <w:r w:rsidRPr="00A00EFD">
        <w:rPr>
          <w:rFonts w:cs="Times New Roman"/>
          <w:szCs w:val="24"/>
        </w:rPr>
        <w:t>Course</w:t>
      </w:r>
    </w:p>
    <w:p w14:paraId="6A83761B" w14:textId="77777777" w:rsidR="00DF1DF2" w:rsidRPr="00A00EFD" w:rsidRDefault="00DF1DF2" w:rsidP="00DF1DF2">
      <w:pPr>
        <w:jc w:val="center"/>
        <w:rPr>
          <w:rFonts w:cs="Times New Roman"/>
          <w:szCs w:val="24"/>
        </w:rPr>
      </w:pPr>
      <w:r w:rsidRPr="00A00EFD">
        <w:rPr>
          <w:rFonts w:cs="Times New Roman"/>
          <w:szCs w:val="24"/>
        </w:rPr>
        <w:t>Date</w:t>
      </w:r>
    </w:p>
    <w:p w14:paraId="5056DCF9" w14:textId="77777777" w:rsidR="00DF1DF2" w:rsidRPr="00A00EFD" w:rsidRDefault="00DF1DF2" w:rsidP="00DF1DF2">
      <w:pPr>
        <w:jc w:val="center"/>
        <w:rPr>
          <w:rFonts w:cs="Times New Roman"/>
          <w:b/>
          <w:bCs/>
          <w:szCs w:val="24"/>
        </w:rPr>
      </w:pPr>
    </w:p>
    <w:p w14:paraId="2F681D44" w14:textId="77777777" w:rsidR="00DF1DF2" w:rsidRPr="00A00EFD" w:rsidRDefault="00DF1DF2" w:rsidP="00DF1DF2">
      <w:pPr>
        <w:jc w:val="center"/>
        <w:rPr>
          <w:rFonts w:cs="Times New Roman"/>
          <w:b/>
          <w:bCs/>
          <w:szCs w:val="24"/>
        </w:rPr>
      </w:pPr>
    </w:p>
    <w:p w14:paraId="13892DD2" w14:textId="77777777" w:rsidR="00DF1DF2" w:rsidRDefault="00DF1DF2" w:rsidP="00AF3CF6">
      <w:pPr>
        <w:rPr>
          <w:b/>
        </w:rPr>
      </w:pPr>
    </w:p>
    <w:p w14:paraId="3C39BA33" w14:textId="77777777" w:rsidR="00DF1DF2" w:rsidRDefault="00DF1DF2">
      <w:pPr>
        <w:rPr>
          <w:b/>
        </w:rPr>
      </w:pPr>
      <w:r>
        <w:rPr>
          <w:b/>
        </w:rPr>
        <w:br w:type="page"/>
      </w:r>
    </w:p>
    <w:p w14:paraId="775BB24D" w14:textId="10AF9D7F" w:rsidR="00C37A97" w:rsidRDefault="00C37A97" w:rsidP="00AF3CF6">
      <w:pPr>
        <w:rPr>
          <w:b/>
        </w:rPr>
      </w:pPr>
      <w:r>
        <w:rPr>
          <w:b/>
        </w:rPr>
        <w:lastRenderedPageBreak/>
        <w:t>Section I</w:t>
      </w:r>
    </w:p>
    <w:p w14:paraId="110D9EF8" w14:textId="77777777" w:rsidR="00A11FFC" w:rsidRDefault="00AF3CF6" w:rsidP="00A11FFC">
      <w:pPr>
        <w:ind w:firstLine="720"/>
      </w:pPr>
      <w:r>
        <w:t xml:space="preserve">The economic and political issues affecting Australia and Saudi Arabia include unemployment, financial problems, poverty, over-population, lack of housing, and price fluctuations. In this context, the Australian government is experiencing the most significant growth in the economy due to the uninterrupted growth in the economy since, during the financial crisis, the country did not experience recession. The Austrian government and business are spending a lot to increase its economy while at time benefitting from globalization issues such as Aramco company. However, due to the outbreak of Coved 19, thus the fall of the company by 6.7 percent. Since Australia's rate of unemployment is very high, there is the availability of both skilled and non-skilled labor for Aramco. Due to globalization, the company can expand its operations to various regions, thus reaching a bigger market. The fluctuations of currency are another issue affecting the Aramco production since if the price of the change goes low, the company experiences loss when the swing goes high, Aramco gains profit. The political issues in Austria include the availability of political stability from the Australian prime minister, who allows it to occur.  The economic and political issues affecting Australia is the parliamentary documentary that allows Aramco to run its operations smoothly. </w:t>
      </w:r>
    </w:p>
    <w:p w14:paraId="473D0C32" w14:textId="529847B1" w:rsidR="00AF3CF6" w:rsidRDefault="00AF3CF6" w:rsidP="00A11FFC">
      <w:pPr>
        <w:ind w:firstLine="720"/>
      </w:pPr>
      <w:r>
        <w:t xml:space="preserve">The influence of the Saudi Arabia kingdom has had a great impact on the production of the country. One of the company's significant issues is the issue to do with control of the Saudi Royal Family. The relationship between the government and the company significantly affects the company operations, including corporate governance policies. The political issues affecting the Aramco oil production include the rights of the minority, women's rights, religious freedom, and economic reforms. In this context, ethical issue causes the company sanctions due to the Islamic religion that causes the company to attract little investors and foreigners. The </w:t>
      </w:r>
      <w:r w:rsidR="00A11FFC">
        <w:t xml:space="preserve">right of </w:t>
      </w:r>
      <w:r w:rsidR="00A11FFC">
        <w:lastRenderedPageBreak/>
        <w:t>minorities is</w:t>
      </w:r>
      <w:r>
        <w:t xml:space="preserve"> another political issue affecting Aramco. There is no equality between men and women; thus, the company needs to conduct economic reforms that enable the company to increase its productivity</w:t>
      </w:r>
      <w:r w:rsidR="00296766">
        <w:t xml:space="preserve"> (</w:t>
      </w:r>
      <w:r w:rsidR="00296766" w:rsidRPr="00C37A97">
        <w:t>Biygautane</w:t>
      </w:r>
      <w:r w:rsidR="00296766">
        <w:t xml:space="preserve"> et al</w:t>
      </w:r>
      <w:r>
        <w:t xml:space="preserve">.  </w:t>
      </w:r>
      <w:r w:rsidR="00296766">
        <w:t>2018)</w:t>
      </w:r>
    </w:p>
    <w:p w14:paraId="067A6ECA" w14:textId="77777777" w:rsidR="00C37A97" w:rsidRDefault="00C37A97" w:rsidP="00AF3CF6">
      <w:pPr>
        <w:rPr>
          <w:b/>
        </w:rPr>
      </w:pPr>
      <w:r>
        <w:rPr>
          <w:b/>
        </w:rPr>
        <w:t>Section II</w:t>
      </w:r>
    </w:p>
    <w:p w14:paraId="29A17C31" w14:textId="77777777" w:rsidR="00A11FFC" w:rsidRDefault="00AF3CF6" w:rsidP="00A11FFC">
      <w:pPr>
        <w:ind w:firstLine="720"/>
      </w:pPr>
      <w:r>
        <w:t xml:space="preserve">Australia's legal law is usually based on English common law.  The Australian constitutional law is generally based on the Australian federal government system that distributes its power between its states and the commonwealth (the national government). The constitution defines the different countries and commonwealth powers. There are two primary sources of Australian law that includes legislation and Cases. The two control all the operations taking place in the country. In this context, the Armco company operations must be based on the Australian legal systems. It should not violate decisions made by the </w:t>
      </w:r>
      <w:r w:rsidR="00A11FFC">
        <w:t>Supreme Court</w:t>
      </w:r>
      <w:r>
        <w:t xml:space="preserve"> on production. It should also follow parliamentary rules made through the parliament</w:t>
      </w:r>
      <w:r w:rsidR="00A11FFC">
        <w:t xml:space="preserve"> and the necessary authorities.</w:t>
      </w:r>
    </w:p>
    <w:p w14:paraId="40EB7F36" w14:textId="33261B06" w:rsidR="00AF3CF6" w:rsidRDefault="00AF3CF6" w:rsidP="00A11FFC">
      <w:pPr>
        <w:ind w:firstLine="720"/>
      </w:pPr>
      <w:r>
        <w:t>The legal system in Saudi Arabia is mainly based on its judiciary and Islamic religious laws</w:t>
      </w:r>
      <w:r w:rsidR="00296766">
        <w:t xml:space="preserve"> (</w:t>
      </w:r>
      <w:r w:rsidR="00296766" w:rsidRPr="00C37A97">
        <w:t>Alsaihati</w:t>
      </w:r>
      <w:r w:rsidR="00296766">
        <w:t xml:space="preserve"> et al. 2017)</w:t>
      </w:r>
      <w:r>
        <w:t xml:space="preserve">. The highest court in Saudi Arabia comprises of the king who acts as the final court of appeal and source of pardon. Therefore, the operations of Aramco must be based on Saudi Arabia's legal system. The legal system in Saudi Arabia depends on three primary parts that include the Sariah courts, the board of grievances, and the various government issues that affect labor issues, including operations of Aramco. However, there has been a change in Saudi Arabia's legal system that includes administrative courts, unique commercial, and </w:t>
      </w:r>
      <w:r w:rsidR="00A11FFC">
        <w:t>Supreme Court</w:t>
      </w:r>
      <w:r>
        <w:t xml:space="preserve"> establishment. In Saudi Arabia, Islamic law serves as the guide for all the legal matters affecting the country's operations. Therefore, there is no difference between the secular and sacred aspects of society in Saudi Arabia. The legal system in Saudi Arabia is mainly </w:t>
      </w:r>
      <w:r>
        <w:lastRenderedPageBreak/>
        <w:t xml:space="preserve">based on the teachings of Muslim law based on the holy Quran. According to Muslim rule, it states that a defendant is innocent until proven guilty in serious crimes. Therefore, the company should produce its products based on Muslim law. Its production should not violate the legal system requirements. </w:t>
      </w:r>
    </w:p>
    <w:p w14:paraId="257C1090" w14:textId="2E94D3AF" w:rsidR="00AF3CF6" w:rsidRPr="00AF3CF6" w:rsidRDefault="00AF3CF6" w:rsidP="00AF3CF6">
      <w:pPr>
        <w:rPr>
          <w:b/>
        </w:rPr>
      </w:pPr>
      <w:r w:rsidRPr="00AF3CF6">
        <w:rPr>
          <w:b/>
        </w:rPr>
        <w:t xml:space="preserve"> </w:t>
      </w:r>
      <w:r w:rsidR="00C37A97">
        <w:rPr>
          <w:b/>
        </w:rPr>
        <w:t>Section III</w:t>
      </w:r>
    </w:p>
    <w:p w14:paraId="57E789FF" w14:textId="77777777" w:rsidR="00A11FFC" w:rsidRDefault="00AF3CF6" w:rsidP="00A11FFC">
      <w:pPr>
        <w:ind w:firstLine="720"/>
      </w:pPr>
      <w:r>
        <w:t xml:space="preserve">Saudi Aramco has multiple countries of operation. For example, it has subsidiaries in many parts of Asia, Europe, America, and Australia. Some host countries in Asia include; India, China, Malaysia, and Japan. In Europe, the company is hosted by the UK, the Netherlands, Italy, and France, while in America, it is the US and Canada. These host nations have different values, norms, and ways of life. For instance, in Australia, the culture is diverse. The country does not have a universal national culture since it made of multiple cultures. However, studies show that Australian people are among the most tolerant people. </w:t>
      </w:r>
    </w:p>
    <w:p w14:paraId="239424E7" w14:textId="68A5ED27" w:rsidR="00AF3CF6" w:rsidRDefault="00AF3CF6" w:rsidP="00A11FFC">
      <w:pPr>
        <w:ind w:firstLine="720"/>
      </w:pPr>
      <w:r>
        <w:t>Business-wise, studies show that Australians are receptive to new business ideas. Also, Australians appreciate modesty. Companies are, therefore, discouraged from overselling themselves and using aggressive selling strategies. In the language culture, Australia has an extensive collection of languages due to immigration. The commonly used language is English, which has a unique accent and vocabulary. Other styles include Greek, Arabic, and Italian. The Saudi Arabian culture, on the other hand, is characterized by an Islamic heritage. It is the cradle of Arabism and the Islamic religion. Their first language is Arabic. The Saudi culture encourages clean business where all the ethics are strictly adhered to</w:t>
      </w:r>
      <w:r w:rsidR="00296766">
        <w:t xml:space="preserve"> (</w:t>
      </w:r>
      <w:r w:rsidR="00296766" w:rsidRPr="00C37A97">
        <w:t>Biygautane</w:t>
      </w:r>
      <w:r w:rsidR="00296766">
        <w:t xml:space="preserve"> et al.  2018)</w:t>
      </w:r>
      <w:r>
        <w:t xml:space="preserve">.  </w:t>
      </w:r>
    </w:p>
    <w:p w14:paraId="05587B6D" w14:textId="77777777" w:rsidR="00AF3CF6" w:rsidRDefault="00AF3CF6" w:rsidP="00A11FFC">
      <w:pPr>
        <w:ind w:firstLine="720"/>
      </w:pPr>
      <w:r>
        <w:t xml:space="preserve">Some of the advantages that Australia provides to Saudi Aramco include; a huge source of revenue. Australia offers a large pool of potential customers. Also, Australia provides a great </w:t>
      </w:r>
      <w:r>
        <w:lastRenderedPageBreak/>
        <w:t>task force. One of the crucial benefits of running a business in Australia is the ability to access highly qualified employees since Australia develops talents that gain global recognition. Also, the diverse Australian culture promotes the growth of Saudi Aramco. Some of the disadvantages the company gets from Australia include; expensive mode of operation and publicity of financial status.</w:t>
      </w:r>
    </w:p>
    <w:p w14:paraId="2E83BF58" w14:textId="77777777" w:rsidR="00AF3CF6" w:rsidRDefault="00AF3CF6" w:rsidP="00A11FFC">
      <w:pPr>
        <w:ind w:firstLine="720"/>
      </w:pPr>
      <w:r>
        <w:t>Saudi Aramco uses multiple marketing strategies to keep them in profits despite different cultures. To begin with, the company applies market segmentation.  In this strategy, the company uses geographical market segments and divides the customers according to their unique needs. Also, the company has unique ways of designing and managing its products. Saudi Aramco has an innovative culture of continually improving its outcomes. Constant quality improvement procedure involves measuring the performance of a product, analyzing, and improving it. A perfect example of this strategy is the Failure Mode and Effect Analysis (FMEA)</w:t>
      </w:r>
    </w:p>
    <w:p w14:paraId="3B2253FD" w14:textId="5AFCAA5D" w:rsidR="00C37A97" w:rsidRPr="00C37A97" w:rsidRDefault="00C37A97" w:rsidP="00AF3CF6">
      <w:pPr>
        <w:rPr>
          <w:b/>
        </w:rPr>
      </w:pPr>
      <w:r w:rsidRPr="00C37A97">
        <w:rPr>
          <w:b/>
        </w:rPr>
        <w:t>Section IV and V</w:t>
      </w:r>
    </w:p>
    <w:p w14:paraId="6FBED600" w14:textId="229E743B" w:rsidR="00AF3CF6" w:rsidRDefault="00AF3CF6" w:rsidP="00A11FFC">
      <w:pPr>
        <w:ind w:firstLine="720"/>
      </w:pPr>
      <w:r>
        <w:t xml:space="preserve">Saudi Aramco's entry into an ambitious and chemical strategic plan is </w:t>
      </w:r>
      <w:r w:rsidR="00C37A97">
        <w:t>a fully integrated chemical and petroleum enterprise that helps the company to create and resources and diversifies</w:t>
      </w:r>
      <w:r>
        <w:t xml:space="preserve"> its economy beyond petroleum and oil production.  Through the agreement of Saudi Aramco and Saudi Arabia </w:t>
      </w:r>
      <w:r w:rsidR="00C37A97">
        <w:t>Corporation</w:t>
      </w:r>
      <w:r>
        <w:t xml:space="preserve"> of industries agreement, there have been new opportunities to maximize the production of crude oil and the development of technologies. </w:t>
      </w:r>
    </w:p>
    <w:p w14:paraId="0724AC86" w14:textId="23E81E3E" w:rsidR="00AF3CF6" w:rsidRDefault="00AF3CF6" w:rsidP="00A11FFC">
      <w:pPr>
        <w:ind w:firstLine="720"/>
      </w:pPr>
      <w:r>
        <w:t>Oil production is one of the most significant integration methods in Saudi Arabia that has promoted global affairs</w:t>
      </w:r>
      <w:r w:rsidR="00296766">
        <w:t xml:space="preserve"> (Alhejji et al. 2018)</w:t>
      </w:r>
      <w:r>
        <w:t xml:space="preserve">. Globalization is one of the key drivers in the oil and petroleum industry through the production of cheap products that allow people to travel from one country to another.  One of the key drivers that enable globalization in Saudi Arabia is the issues </w:t>
      </w:r>
      <w:r>
        <w:lastRenderedPageBreak/>
        <w:t xml:space="preserve">to do with interaction in which Saudi Aramco fights against matters to do with cultural differences. Through battling against cultural differences, the company must depend a lot on globalization on the economic level. Globalization enables the company to do business with other countries. In this context, the company can transport its products to different countries, thus reaching a broader market. </w:t>
      </w:r>
    </w:p>
    <w:p w14:paraId="24FB5817" w14:textId="77777777" w:rsidR="00AF3CF6" w:rsidRDefault="00AF3CF6" w:rsidP="00A11FFC">
      <w:pPr>
        <w:ind w:firstLine="720"/>
      </w:pPr>
      <w:r>
        <w:t xml:space="preserve">Saudi Aramco has expanded its market into different countries, including the Philippines, China, and Korea.  With the help of globalization, the country has been able to operate in a different country, thus boosting its gas and oil production idea. New gas production and processing industries have been built in various countries. Through expansion, the company has been able to compete effectively with others. According to the news reports, the company has been making investments in overseas countries, including Australia and the US. </w:t>
      </w:r>
    </w:p>
    <w:p w14:paraId="596F21CD" w14:textId="5F7F9E9F" w:rsidR="00AF3CF6" w:rsidRDefault="00AF3CF6" w:rsidP="00A11FFC">
      <w:pPr>
        <w:ind w:firstLine="720"/>
      </w:pPr>
      <w:r>
        <w:t>One of the most exceptional opportunities in Saudi Aramco is the availability of investment opportunities that enables the organization to create job opportunities to its people, thus increasing the GDP. Through the gas and oil production process, the organization has been able to invest abroad, thus attracting more interest in the energy market</w:t>
      </w:r>
      <w:r w:rsidR="00296766">
        <w:t xml:space="preserve"> (</w:t>
      </w:r>
      <w:proofErr w:type="spellStart"/>
      <w:r w:rsidR="00296766" w:rsidRPr="00C37A97">
        <w:t>Nurunnabi</w:t>
      </w:r>
      <w:proofErr w:type="spellEnd"/>
      <w:r w:rsidR="00A11FFC">
        <w:t>, 2017</w:t>
      </w:r>
      <w:r w:rsidR="00296766">
        <w:t>)</w:t>
      </w:r>
      <w:r>
        <w:t xml:space="preserve">. However, the company is battling various challenges, including risk from changes in climate and global warming. Therefore, the government is coming up with policies to reduce company productions, thus devaluing the company's renewable energy. The company is also suffering from breaches in security and drone attacks since it depends on geopolitics. The issue of the government of Saudi Arabia to issue shares to Aramco has caused a lot of questions to the company. </w:t>
      </w:r>
    </w:p>
    <w:p w14:paraId="4D31CB4C" w14:textId="77777777" w:rsidR="00C37A97" w:rsidRDefault="00C37A97" w:rsidP="00893F29">
      <w:pPr>
        <w:rPr>
          <w:b/>
        </w:rPr>
      </w:pPr>
      <w:r>
        <w:rPr>
          <w:b/>
        </w:rPr>
        <w:t xml:space="preserve">Section IV </w:t>
      </w:r>
    </w:p>
    <w:p w14:paraId="0F68D606" w14:textId="77777777" w:rsidR="00A11FFC" w:rsidRDefault="00893F29" w:rsidP="00A11FFC">
      <w:pPr>
        <w:ind w:firstLine="720"/>
      </w:pPr>
      <w:r>
        <w:lastRenderedPageBreak/>
        <w:t>The supply chain management in Aramco is responsible for managing and establishing a good relationship with suppliers. The company aims to nurture good ethics in the supply chain. Through the understanding of the supply chain, the company's all its projects and operations are met. Aramco encourages suppliers with high innovative, on-time delivery, quality standards, and competitive prices that enable the organization to meet the growing challenges within the business, thus allowing its growth</w:t>
      </w:r>
      <w:r w:rsidR="00296766">
        <w:t xml:space="preserve"> (</w:t>
      </w:r>
      <w:r w:rsidR="00296766" w:rsidRPr="00296766">
        <w:t>Almutairi</w:t>
      </w:r>
      <w:r w:rsidR="00296766">
        <w:t xml:space="preserve"> et al 2019)</w:t>
      </w:r>
      <w:r>
        <w:t xml:space="preserve">. The company also understands the type of commodity they can supply. According to the commercial supplier registration, Aramco must meet the meet its requirements necessary for running the business. The Aramco staffing approach is based on the development and employment program of Saudi Arabia. Therefore, the recruitment service involves the employment of qualified people that creates a career synergy benefiting both individuals and the company.  The company provides equal opportunities for both men and women, reducing issues to do with gender inequalities. </w:t>
      </w:r>
    </w:p>
    <w:p w14:paraId="5C1B1E7C" w14:textId="1C7F60B0" w:rsidR="00C37A97" w:rsidRDefault="00893F29" w:rsidP="00A11FFC">
      <w:pPr>
        <w:ind w:firstLine="720"/>
      </w:pPr>
      <w:r>
        <w:t>Aramco addresses the issue to do with immigration and outsourcing in different ways. The various methods include the Saudization program that aims at increasing the rate of employment to the citizens of Saudi Arabia in all the sectors. The company also addresses the issue of immigration by reducing its over-reliance on foreign workers. It reinvests and recaptures its income that would have flowed overseas to foreign workers.  On the other hand, it addresses the outsourcing issues through issues to do with IT technologies that take the place of human labor. The company is very reluctant to outsource due to the core activities required in the process. Therefore, it addresses the issues using data and technology</w:t>
      </w:r>
      <w:r w:rsidR="0033690F">
        <w:t xml:space="preserve"> (</w:t>
      </w:r>
      <w:r w:rsidR="0033690F" w:rsidRPr="00296766">
        <w:t>Alexander</w:t>
      </w:r>
      <w:r w:rsidR="0033690F">
        <w:t>, 2018)</w:t>
      </w:r>
      <w:r>
        <w:t xml:space="preserve">. </w:t>
      </w:r>
    </w:p>
    <w:p w14:paraId="5DAD11AF" w14:textId="77777777" w:rsidR="00A11FFC" w:rsidRDefault="00A11FFC" w:rsidP="00A11FFC">
      <w:pPr>
        <w:ind w:firstLine="720"/>
      </w:pPr>
      <w:bookmarkStart w:id="0" w:name="_GoBack"/>
      <w:bookmarkEnd w:id="0"/>
    </w:p>
    <w:p w14:paraId="176D6659" w14:textId="77777777" w:rsidR="00C37A97" w:rsidRDefault="00C37A97" w:rsidP="00AF3CF6"/>
    <w:p w14:paraId="14CB2AA2" w14:textId="5663B405" w:rsidR="00C37A97" w:rsidRDefault="00C37A97" w:rsidP="00C64746">
      <w:pPr>
        <w:jc w:val="center"/>
      </w:pPr>
      <w:r>
        <w:lastRenderedPageBreak/>
        <w:t>References</w:t>
      </w:r>
    </w:p>
    <w:p w14:paraId="4E312694" w14:textId="248C55AE" w:rsidR="00C37A97" w:rsidRDefault="00C37A97" w:rsidP="00C64746">
      <w:pPr>
        <w:ind w:left="720" w:hanging="720"/>
      </w:pPr>
      <w:r w:rsidRPr="00C37A97">
        <w:t>Biygautane, M., Hodge, G., &amp; Gerber, P. (2018). The Prospect of Infrastructure Public‐Private Partnerships in Kuwait, Saudi Arabia, and Qatar: Transforming Challenges into Opportunities. </w:t>
      </w:r>
      <w:r w:rsidRPr="00C37A97">
        <w:rPr>
          <w:i/>
          <w:iCs/>
        </w:rPr>
        <w:t>Thunderbird International Business Review</w:t>
      </w:r>
      <w:r w:rsidRPr="00C37A97">
        <w:t>, </w:t>
      </w:r>
      <w:r w:rsidRPr="00C37A97">
        <w:rPr>
          <w:i/>
          <w:iCs/>
        </w:rPr>
        <w:t>60</w:t>
      </w:r>
      <w:r w:rsidRPr="00C37A97">
        <w:t>(3), 329-346.</w:t>
      </w:r>
    </w:p>
    <w:p w14:paraId="73BEE6A5" w14:textId="34706E2D" w:rsidR="00C37A97" w:rsidRDefault="00C37A97" w:rsidP="00C64746">
      <w:pPr>
        <w:ind w:left="720" w:hanging="720"/>
      </w:pPr>
      <w:r w:rsidRPr="00C37A97">
        <w:t>Alsaihati, Z. A., Al-Yami, A. S., Wagle, V., BinAli, A., Mukherjee, T. S., Al-Kubaisi, A., ... &amp; Alsafran, A. (2017, June). An Overview of Polymer Resin Systems Deployed for Remedial Operations in Saudi Arabia. In </w:t>
      </w:r>
      <w:r w:rsidRPr="00C37A97">
        <w:rPr>
          <w:i/>
          <w:iCs/>
        </w:rPr>
        <w:t>SPE Kingdom of Saudi Arabia Annual Technical Symposium and Exhibition</w:t>
      </w:r>
      <w:r w:rsidRPr="00C37A97">
        <w:t>. Society of Petroleum Engineers.</w:t>
      </w:r>
    </w:p>
    <w:p w14:paraId="58A93336" w14:textId="55C08796" w:rsidR="00C37A97" w:rsidRDefault="00C37A97" w:rsidP="00C64746">
      <w:pPr>
        <w:ind w:left="720" w:hanging="720"/>
      </w:pPr>
      <w:r w:rsidRPr="00C37A97">
        <w:t>Alhejji, H., Ng, E. S., Garavan, T., &amp; Carbery, R. (2018). The impact of formal and informal distance on gender equality approaches: the case of a British MNC in Saudi Arabia. </w:t>
      </w:r>
      <w:r w:rsidRPr="00C37A97">
        <w:rPr>
          <w:i/>
          <w:iCs/>
        </w:rPr>
        <w:t>Thunderbird International Business Review</w:t>
      </w:r>
      <w:r w:rsidRPr="00C37A97">
        <w:t>, </w:t>
      </w:r>
      <w:r w:rsidRPr="00C37A97">
        <w:rPr>
          <w:i/>
          <w:iCs/>
        </w:rPr>
        <w:t>60</w:t>
      </w:r>
      <w:r w:rsidRPr="00C37A97">
        <w:t>(2), 147-159.</w:t>
      </w:r>
    </w:p>
    <w:p w14:paraId="685B591B" w14:textId="1B9FB3A4" w:rsidR="00C37A97" w:rsidRDefault="00C37A97" w:rsidP="00C64746">
      <w:pPr>
        <w:ind w:left="720" w:hanging="720"/>
      </w:pPr>
      <w:r w:rsidRPr="00C37A97">
        <w:t>Nurunnabi, M. (2017). Transformation from an oil-based economy to a knowledge-based economy in Saudi Arabia: the Direction of Saudi Vision 2030. </w:t>
      </w:r>
      <w:r w:rsidRPr="00C37A97">
        <w:rPr>
          <w:i/>
          <w:iCs/>
        </w:rPr>
        <w:t>Journal of the Knowledge Economy</w:t>
      </w:r>
      <w:r w:rsidRPr="00C37A97">
        <w:t>, </w:t>
      </w:r>
      <w:r w:rsidRPr="00C37A97">
        <w:rPr>
          <w:i/>
          <w:iCs/>
        </w:rPr>
        <w:t>8</w:t>
      </w:r>
      <w:r w:rsidRPr="00C37A97">
        <w:t>(2), 536-564.</w:t>
      </w:r>
    </w:p>
    <w:p w14:paraId="04F1B653" w14:textId="6765D6E9" w:rsidR="00C37A97" w:rsidRDefault="00296766" w:rsidP="00C64746">
      <w:pPr>
        <w:ind w:left="720" w:hanging="720"/>
      </w:pPr>
      <w:r w:rsidRPr="00296766">
        <w:t>Alexander, A. (2018). Gauging the unique developmental strategies towards human resource at Saudi Aramco. </w:t>
      </w:r>
      <w:r w:rsidRPr="00296766">
        <w:rPr>
          <w:i/>
          <w:iCs/>
        </w:rPr>
        <w:t>Human Resource Development International</w:t>
      </w:r>
      <w:r w:rsidRPr="00296766">
        <w:t>, </w:t>
      </w:r>
      <w:r w:rsidRPr="00296766">
        <w:rPr>
          <w:i/>
          <w:iCs/>
        </w:rPr>
        <w:t>21</w:t>
      </w:r>
      <w:r w:rsidRPr="00296766">
        <w:t>(2), 150-157.</w:t>
      </w:r>
    </w:p>
    <w:p w14:paraId="552BD581" w14:textId="45EE325C" w:rsidR="00296766" w:rsidRDefault="00296766" w:rsidP="00C64746">
      <w:pPr>
        <w:ind w:left="720" w:hanging="720"/>
      </w:pPr>
      <w:r w:rsidRPr="00296766">
        <w:t>Almutairi, A. M., Salonitis, K., &amp; Al-Ashaab, A. (2019). Assessing the leanness of a supply chain using multi-grade fuzzy logic: a health-care case study. </w:t>
      </w:r>
      <w:r w:rsidRPr="00296766">
        <w:rPr>
          <w:i/>
          <w:iCs/>
        </w:rPr>
        <w:t>International Journal of Lean Six Sigma</w:t>
      </w:r>
      <w:r w:rsidRPr="00296766">
        <w:t>.</w:t>
      </w:r>
    </w:p>
    <w:p w14:paraId="7663F51A" w14:textId="77777777" w:rsidR="00C37A97" w:rsidRPr="00AF3CF6" w:rsidRDefault="00C37A97" w:rsidP="00C64746">
      <w:pPr>
        <w:ind w:left="720" w:hanging="720"/>
      </w:pPr>
    </w:p>
    <w:sectPr w:rsidR="00C37A97" w:rsidRPr="00AF3CF6" w:rsidSect="00A11FF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5A1F11" w14:textId="77777777" w:rsidR="00A8024E" w:rsidRDefault="00A8024E" w:rsidP="00DF1DF2">
      <w:pPr>
        <w:spacing w:after="0" w:line="240" w:lineRule="auto"/>
      </w:pPr>
      <w:r>
        <w:separator/>
      </w:r>
    </w:p>
  </w:endnote>
  <w:endnote w:type="continuationSeparator" w:id="0">
    <w:p w14:paraId="42C817A0" w14:textId="77777777" w:rsidR="00A8024E" w:rsidRDefault="00A8024E" w:rsidP="00DF1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FAC00A" w14:textId="77777777" w:rsidR="00A8024E" w:rsidRDefault="00A8024E" w:rsidP="00DF1DF2">
      <w:pPr>
        <w:spacing w:after="0" w:line="240" w:lineRule="auto"/>
      </w:pPr>
      <w:r>
        <w:separator/>
      </w:r>
    </w:p>
  </w:footnote>
  <w:footnote w:type="continuationSeparator" w:id="0">
    <w:p w14:paraId="5204E67E" w14:textId="77777777" w:rsidR="00A8024E" w:rsidRDefault="00A8024E" w:rsidP="00DF1D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4919144"/>
      <w:docPartObj>
        <w:docPartGallery w:val="Page Numbers (Top of Page)"/>
        <w:docPartUnique/>
      </w:docPartObj>
    </w:sdtPr>
    <w:sdtEndPr>
      <w:rPr>
        <w:noProof/>
      </w:rPr>
    </w:sdtEndPr>
    <w:sdtContent>
      <w:p w14:paraId="65AD77D1" w14:textId="5C164862" w:rsidR="00DF1DF2" w:rsidRDefault="00A11FFC" w:rsidP="00A11FFC">
        <w:pPr>
          <w:pStyle w:val="Header"/>
        </w:pPr>
        <w:r>
          <w:t xml:space="preserve">SAUDI   ARAMCO                                                                                                                   </w:t>
        </w:r>
        <w:r w:rsidR="00DF1DF2">
          <w:fldChar w:fldCharType="begin"/>
        </w:r>
        <w:r w:rsidR="00DF1DF2">
          <w:instrText xml:space="preserve"> PAGE   \* MERGEFORMAT </w:instrText>
        </w:r>
        <w:r w:rsidR="00DF1DF2">
          <w:fldChar w:fldCharType="separate"/>
        </w:r>
        <w:r>
          <w:rPr>
            <w:noProof/>
          </w:rPr>
          <w:t>2</w:t>
        </w:r>
        <w:r w:rsidR="00DF1DF2">
          <w:rPr>
            <w:noProof/>
          </w:rPr>
          <w:fldChar w:fldCharType="end"/>
        </w:r>
      </w:p>
    </w:sdtContent>
  </w:sdt>
  <w:p w14:paraId="3464A7CF" w14:textId="77777777" w:rsidR="00DF1DF2" w:rsidRDefault="00DF1D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21824C" w14:textId="7FF97E23" w:rsidR="00A11FFC" w:rsidRDefault="00A11FFC" w:rsidP="00A11FFC">
    <w:pPr>
      <w:pStyle w:val="Header"/>
    </w:pPr>
    <w:r>
      <w:t>Running head:</w:t>
    </w:r>
    <w:r w:rsidRPr="00A11FFC">
      <w:t xml:space="preserve"> </w:t>
    </w:r>
    <w:r>
      <w:t xml:space="preserve">SAUDI   ARAMCO </w:t>
    </w:r>
    <w:r>
      <w:t xml:space="preserve">                                                                                           </w:t>
    </w:r>
    <w:sdt>
      <w:sdtPr>
        <w:id w:val="440269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24CA5408" w14:textId="77777777" w:rsidR="00A11FFC" w:rsidRDefault="00A11F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07B"/>
    <w:rsid w:val="00034766"/>
    <w:rsid w:val="000B69BC"/>
    <w:rsid w:val="00296766"/>
    <w:rsid w:val="0033690F"/>
    <w:rsid w:val="00426091"/>
    <w:rsid w:val="00454423"/>
    <w:rsid w:val="004A0115"/>
    <w:rsid w:val="004C2826"/>
    <w:rsid w:val="00562C1A"/>
    <w:rsid w:val="005E4165"/>
    <w:rsid w:val="00627653"/>
    <w:rsid w:val="0077578B"/>
    <w:rsid w:val="00793219"/>
    <w:rsid w:val="00893F29"/>
    <w:rsid w:val="008F00D3"/>
    <w:rsid w:val="00A11FFC"/>
    <w:rsid w:val="00A4207B"/>
    <w:rsid w:val="00A56AB3"/>
    <w:rsid w:val="00A8024E"/>
    <w:rsid w:val="00AE1ECD"/>
    <w:rsid w:val="00AF3CF6"/>
    <w:rsid w:val="00C37A97"/>
    <w:rsid w:val="00C64746"/>
    <w:rsid w:val="00D012DB"/>
    <w:rsid w:val="00D2605E"/>
    <w:rsid w:val="00D9250F"/>
    <w:rsid w:val="00DF1DF2"/>
    <w:rsid w:val="00E82497"/>
    <w:rsid w:val="00F02DAD"/>
    <w:rsid w:val="00F12D71"/>
    <w:rsid w:val="00F91A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0B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color w:val="000000" w:themeColor="text1"/>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D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DF2"/>
  </w:style>
  <w:style w:type="paragraph" w:styleId="Footer">
    <w:name w:val="footer"/>
    <w:basedOn w:val="Normal"/>
    <w:link w:val="FooterChar"/>
    <w:uiPriority w:val="99"/>
    <w:unhideWhenUsed/>
    <w:rsid w:val="00DF1D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D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color w:val="000000" w:themeColor="text1"/>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D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DF2"/>
  </w:style>
  <w:style w:type="paragraph" w:styleId="Footer">
    <w:name w:val="footer"/>
    <w:basedOn w:val="Normal"/>
    <w:link w:val="FooterChar"/>
    <w:uiPriority w:val="99"/>
    <w:unhideWhenUsed/>
    <w:rsid w:val="00DF1D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1918</Words>
  <Characters>10936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2</cp:revision>
  <dcterms:created xsi:type="dcterms:W3CDTF">2020-06-27T07:08:00Z</dcterms:created>
  <dcterms:modified xsi:type="dcterms:W3CDTF">2020-06-27T07:08:00Z</dcterms:modified>
</cp:coreProperties>
</file>